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7F" w:rsidRPr="003F0951" w:rsidRDefault="0016087F" w:rsidP="0051151C">
      <w:pPr>
        <w:spacing w:after="0"/>
        <w:ind w:left="0"/>
        <w:rPr>
          <w:b/>
        </w:rPr>
      </w:pPr>
      <w:bookmarkStart w:id="0" w:name="_GoBack"/>
      <w:bookmarkEnd w:id="0"/>
    </w:p>
    <w:p w:rsidR="001504C0" w:rsidRDefault="001504C0" w:rsidP="00194C3B">
      <w:pPr>
        <w:spacing w:after="0"/>
        <w:ind w:left="0"/>
      </w:pPr>
    </w:p>
    <w:p w:rsidR="003F0951" w:rsidRPr="00422194" w:rsidRDefault="003F0951" w:rsidP="00422194">
      <w:pPr>
        <w:spacing w:after="0"/>
        <w:ind w:left="0"/>
        <w:jc w:val="center"/>
        <w:rPr>
          <w:b/>
        </w:rPr>
      </w:pPr>
      <w:r w:rsidRPr="00422194">
        <w:rPr>
          <w:b/>
        </w:rPr>
        <w:t>An Open Letter to Patient Safety Organizations and Providers</w:t>
      </w:r>
    </w:p>
    <w:p w:rsidR="003F0951" w:rsidRDefault="003F0951" w:rsidP="003F0951">
      <w:pPr>
        <w:spacing w:after="0"/>
        <w:ind w:left="0"/>
      </w:pPr>
    </w:p>
    <w:p w:rsidR="003F0951" w:rsidRDefault="003F0951" w:rsidP="003F0951">
      <w:pPr>
        <w:spacing w:after="0"/>
        <w:ind w:left="0"/>
      </w:pPr>
    </w:p>
    <w:p w:rsidR="005D1893" w:rsidRDefault="005D1893" w:rsidP="003F0951">
      <w:pPr>
        <w:spacing w:after="0"/>
        <w:ind w:left="0"/>
      </w:pPr>
    </w:p>
    <w:p w:rsidR="005222CE" w:rsidRDefault="003F0951" w:rsidP="003F0951">
      <w:pPr>
        <w:spacing w:after="0"/>
        <w:ind w:left="0"/>
      </w:pPr>
      <w:r>
        <w:t xml:space="preserve">URAC </w:t>
      </w:r>
      <w:r w:rsidR="003430F2">
        <w:t xml:space="preserve">announces </w:t>
      </w:r>
      <w:r>
        <w:t>recognition of the Patient Safety and Quality Improvement Act (P.L. 109-41), which extends protections to providers reporting patient safety events through a Patient Safety Organization (PSO) that is formally recognized by the Agency for Healthcare Research and Quality (AHRQ).</w:t>
      </w:r>
      <w:r w:rsidR="004F5A6B">
        <w:t xml:space="preserve"> As a result, URAC’s experience as an independent accrediting body can be utilized by both clinicians and entities seeking quality improvement assistance without impact on their accreditation status. Full details are described below.</w:t>
      </w:r>
    </w:p>
    <w:p w:rsidR="005222CE" w:rsidRDefault="005222CE" w:rsidP="003F0951">
      <w:pPr>
        <w:spacing w:after="0"/>
        <w:ind w:left="0"/>
      </w:pPr>
    </w:p>
    <w:p w:rsidR="003F0951" w:rsidRDefault="003F0951" w:rsidP="003F0951">
      <w:pPr>
        <w:spacing w:after="0"/>
        <w:ind w:left="0"/>
      </w:pPr>
      <w:r>
        <w:t>This letter publicly informs providers that URAC fully complies with the protections outlined in the final rule implementing the Patient Safety and Quality Improvement Act.</w:t>
      </w:r>
    </w:p>
    <w:p w:rsidR="005D1893" w:rsidRDefault="005D1893" w:rsidP="003F0951">
      <w:pPr>
        <w:spacing w:after="0"/>
        <w:ind w:left="0"/>
      </w:pPr>
    </w:p>
    <w:p w:rsidR="003F0951" w:rsidRDefault="003F0951" w:rsidP="003F0951">
      <w:pPr>
        <w:spacing w:after="0"/>
        <w:ind w:left="0"/>
      </w:pPr>
      <w:r>
        <w:t>Section 3.206(b)(8) of the Patient Safety and Quality Improvement Act requires the following:</w:t>
      </w:r>
    </w:p>
    <w:p w:rsidR="003F0951" w:rsidRDefault="003F0951" w:rsidP="003F0951">
      <w:pPr>
        <w:spacing w:after="0"/>
        <w:ind w:left="0"/>
      </w:pPr>
    </w:p>
    <w:p w:rsidR="003F0951" w:rsidRDefault="003F0951" w:rsidP="00077166">
      <w:pPr>
        <w:pStyle w:val="ListParagraph"/>
        <w:numPr>
          <w:ilvl w:val="0"/>
          <w:numId w:val="2"/>
        </w:numPr>
        <w:spacing w:after="0"/>
        <w:ind w:left="810" w:hanging="450"/>
      </w:pPr>
      <w:r>
        <w:t>Accrediting bodies are prohibited from taking an accrediting action against a provider based on the good faith participation of the provider in the:</w:t>
      </w:r>
    </w:p>
    <w:p w:rsidR="003F0951" w:rsidRDefault="003F0951" w:rsidP="00077166">
      <w:pPr>
        <w:pStyle w:val="ListParagraph"/>
        <w:numPr>
          <w:ilvl w:val="1"/>
          <w:numId w:val="3"/>
        </w:numPr>
        <w:spacing w:after="0"/>
        <w:ind w:left="1260" w:hanging="360"/>
      </w:pPr>
      <w:r>
        <w:t xml:space="preserve">collection, </w:t>
      </w:r>
    </w:p>
    <w:p w:rsidR="003F0951" w:rsidRDefault="003F0951" w:rsidP="00077166">
      <w:pPr>
        <w:pStyle w:val="ListParagraph"/>
        <w:numPr>
          <w:ilvl w:val="1"/>
          <w:numId w:val="3"/>
        </w:numPr>
        <w:spacing w:after="0"/>
        <w:ind w:left="1260" w:hanging="360"/>
      </w:pPr>
      <w:r>
        <w:t xml:space="preserve">development, </w:t>
      </w:r>
    </w:p>
    <w:p w:rsidR="003F0951" w:rsidRDefault="003F0951" w:rsidP="00077166">
      <w:pPr>
        <w:pStyle w:val="ListParagraph"/>
        <w:numPr>
          <w:ilvl w:val="1"/>
          <w:numId w:val="3"/>
        </w:numPr>
        <w:spacing w:after="0"/>
        <w:ind w:left="1260" w:hanging="360"/>
      </w:pPr>
      <w:r>
        <w:t xml:space="preserve">reporting, or </w:t>
      </w:r>
    </w:p>
    <w:p w:rsidR="003F0951" w:rsidRDefault="003F0951" w:rsidP="00077166">
      <w:pPr>
        <w:pStyle w:val="ListParagraph"/>
        <w:numPr>
          <w:ilvl w:val="1"/>
          <w:numId w:val="3"/>
        </w:numPr>
        <w:spacing w:after="0"/>
        <w:ind w:left="1260" w:hanging="360"/>
      </w:pPr>
      <w:proofErr w:type="gramStart"/>
      <w:r>
        <w:t>maintenance</w:t>
      </w:r>
      <w:proofErr w:type="gramEnd"/>
      <w:r>
        <w:t xml:space="preserve"> of patient safety work product that is prepared and reported to </w:t>
      </w:r>
      <w:r w:rsidR="00355AD3">
        <w:t xml:space="preserve">any </w:t>
      </w:r>
      <w:r>
        <w:t>recognized PSO.</w:t>
      </w:r>
    </w:p>
    <w:p w:rsidR="003F0951" w:rsidRDefault="003F0951" w:rsidP="003F0951">
      <w:pPr>
        <w:spacing w:after="0"/>
        <w:ind w:left="0"/>
      </w:pPr>
    </w:p>
    <w:p w:rsidR="003F0951" w:rsidRDefault="003F0951" w:rsidP="00077166">
      <w:pPr>
        <w:spacing w:after="0"/>
        <w:ind w:left="810" w:hanging="450"/>
      </w:pPr>
      <w:r>
        <w:t>•</w:t>
      </w:r>
      <w:r>
        <w:tab/>
        <w:t>Patient safety work products that have been reported by a provider through a recognized PSO and are voluntarily shared with an accrediting body must address the identities of non-disclosing providers by either:</w:t>
      </w:r>
    </w:p>
    <w:p w:rsidR="003F0951" w:rsidRDefault="003F0951" w:rsidP="00077166">
      <w:pPr>
        <w:pStyle w:val="ListParagraph"/>
        <w:numPr>
          <w:ilvl w:val="1"/>
          <w:numId w:val="5"/>
        </w:numPr>
        <w:spacing w:after="0"/>
        <w:ind w:left="1260" w:hanging="360"/>
      </w:pPr>
      <w:r>
        <w:t>Obtaining the agreement of non-disclosing providers to the disclosure of the patient safety work product; or</w:t>
      </w:r>
    </w:p>
    <w:p w:rsidR="003F0951" w:rsidRDefault="003F0951" w:rsidP="00077166">
      <w:pPr>
        <w:pStyle w:val="ListParagraph"/>
        <w:numPr>
          <w:ilvl w:val="1"/>
          <w:numId w:val="5"/>
        </w:numPr>
        <w:spacing w:after="0"/>
        <w:ind w:left="1260" w:hanging="360"/>
      </w:pPr>
      <w:r>
        <w:t>Anonymizing the patient safety work product with respect to the identity of non-disclosing providers identified in the work product.</w:t>
      </w:r>
    </w:p>
    <w:p w:rsidR="003F0951" w:rsidRDefault="003F0951" w:rsidP="003F0951">
      <w:pPr>
        <w:spacing w:after="0"/>
        <w:ind w:left="0"/>
      </w:pPr>
    </w:p>
    <w:p w:rsidR="003F0951" w:rsidRDefault="003F0951" w:rsidP="003F0951">
      <w:pPr>
        <w:spacing w:after="0"/>
        <w:ind w:left="0"/>
      </w:pPr>
      <w:r>
        <w:t>Further, the Patient Safety and Quality Improvement Act prohibits an accrediting body such as URAC from requiring a provider to disclose patient safety work product. Nor can an accrediting body take any specific accrediting action against a provider who refuses to disclose patient safety work product to the accrediting body.</w:t>
      </w:r>
    </w:p>
    <w:p w:rsidR="003F0951" w:rsidRDefault="003F0951" w:rsidP="003F0951">
      <w:pPr>
        <w:spacing w:after="0"/>
        <w:ind w:left="0"/>
      </w:pPr>
    </w:p>
    <w:p w:rsidR="003F0951" w:rsidRDefault="003F0951" w:rsidP="003F0951">
      <w:pPr>
        <w:spacing w:after="0"/>
        <w:ind w:left="0"/>
      </w:pPr>
      <w:r>
        <w:t>Best regards,</w:t>
      </w:r>
    </w:p>
    <w:p w:rsidR="003F0951" w:rsidRDefault="003F0951" w:rsidP="003F0951">
      <w:pPr>
        <w:spacing w:after="0"/>
        <w:ind w:left="0"/>
      </w:pPr>
    </w:p>
    <w:p w:rsidR="005D1893" w:rsidRDefault="006A48FC" w:rsidP="003F0951">
      <w:pPr>
        <w:spacing w:after="0"/>
        <w:ind w:left="0"/>
      </w:pPr>
      <w:r w:rsidRPr="006A48FC">
        <w:rPr>
          <w:noProof/>
        </w:rPr>
        <w:drawing>
          <wp:inline distT="0" distB="0" distL="0" distR="0">
            <wp:extent cx="1543050" cy="494179"/>
            <wp:effectExtent l="0" t="0" r="0" b="1270"/>
            <wp:docPr id="1" name="Picture 1" descr="\\uracdc2008\executive\Kylanne Green\kylanne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racdc2008\executive\Kylanne Green\kylanne_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63" cy="50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951" w:rsidRDefault="003F0951" w:rsidP="003F0951">
      <w:pPr>
        <w:spacing w:after="0"/>
        <w:ind w:left="0"/>
      </w:pPr>
    </w:p>
    <w:p w:rsidR="003F0951" w:rsidRDefault="003F0951" w:rsidP="003F0951">
      <w:pPr>
        <w:spacing w:after="0"/>
        <w:ind w:left="0"/>
      </w:pPr>
      <w:r>
        <w:t>Kylanne Green</w:t>
      </w:r>
    </w:p>
    <w:p w:rsidR="003F0951" w:rsidRPr="003F0951" w:rsidRDefault="003F0951" w:rsidP="00194C3B">
      <w:pPr>
        <w:spacing w:after="0"/>
        <w:ind w:left="0"/>
      </w:pPr>
      <w:r>
        <w:t>President and Chief Executive Officer</w:t>
      </w:r>
    </w:p>
    <w:sectPr w:rsidR="003F0951" w:rsidRPr="003F0951" w:rsidSect="0069533C">
      <w:headerReference w:type="default" r:id="rId13"/>
      <w:pgSz w:w="12240" w:h="15840"/>
      <w:pgMar w:top="2051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85" w:rsidRDefault="00CC1985" w:rsidP="00B66790">
      <w:pPr>
        <w:spacing w:after="0"/>
      </w:pPr>
      <w:r>
        <w:separator/>
      </w:r>
    </w:p>
  </w:endnote>
  <w:endnote w:type="continuationSeparator" w:id="0">
    <w:p w:rsidR="00CC1985" w:rsidRDefault="00CC1985" w:rsidP="00B66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85" w:rsidRDefault="00CC1985" w:rsidP="00B66790">
      <w:pPr>
        <w:spacing w:after="0"/>
      </w:pPr>
      <w:r>
        <w:separator/>
      </w:r>
    </w:p>
  </w:footnote>
  <w:footnote w:type="continuationSeparator" w:id="0">
    <w:p w:rsidR="00CC1985" w:rsidRDefault="00CC1985" w:rsidP="00B66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90" w:rsidRDefault="0069533C" w:rsidP="006469E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5903E2" wp14:editId="745903E3">
          <wp:simplePos x="0" y="0"/>
          <wp:positionH relativeFrom="margin">
            <wp:align>center</wp:align>
          </wp:positionH>
          <wp:positionV relativeFrom="margin">
            <wp:posOffset>-1137285</wp:posOffset>
          </wp:positionV>
          <wp:extent cx="7223760" cy="92265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CMYK.a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4263" cy="92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5903E4" wp14:editId="745903E5">
              <wp:simplePos x="0" y="0"/>
              <wp:positionH relativeFrom="column">
                <wp:posOffset>4928870</wp:posOffset>
              </wp:positionH>
              <wp:positionV relativeFrom="page">
                <wp:posOffset>143510</wp:posOffset>
              </wp:positionV>
              <wp:extent cx="1573530" cy="82804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46F0" w:rsidRDefault="00CC46F0" w:rsidP="0069533C">
                          <w:pPr>
                            <w:pStyle w:val="Header"/>
                            <w:ind w:left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1220 L Street</w:t>
                          </w:r>
                          <w:r w:rsidR="008638C0"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20"/>
                            </w:rPr>
                            <w:t xml:space="preserve"> NW</w:t>
                          </w:r>
                        </w:p>
                        <w:p w:rsidR="006469E2" w:rsidRPr="0069533C" w:rsidRDefault="006469E2" w:rsidP="0069533C">
                          <w:pPr>
                            <w:pStyle w:val="Header"/>
                            <w:ind w:left="0"/>
                            <w:jc w:val="right"/>
                            <w:rPr>
                              <w:sz w:val="20"/>
                            </w:rPr>
                          </w:pPr>
                          <w:r w:rsidRPr="0069533C">
                            <w:rPr>
                              <w:sz w:val="20"/>
                            </w:rPr>
                            <w:t>Suite 400</w:t>
                          </w:r>
                        </w:p>
                        <w:p w:rsidR="006469E2" w:rsidRPr="0069533C" w:rsidRDefault="006469E2" w:rsidP="0069533C">
                          <w:pPr>
                            <w:pStyle w:val="Header"/>
                            <w:ind w:left="0"/>
                            <w:jc w:val="right"/>
                            <w:rPr>
                              <w:sz w:val="20"/>
                            </w:rPr>
                          </w:pPr>
                          <w:r w:rsidRPr="0069533C">
                            <w:rPr>
                              <w:sz w:val="20"/>
                            </w:rPr>
                            <w:t>Washingto</w:t>
                          </w:r>
                          <w:r w:rsidR="00CC46F0">
                            <w:rPr>
                              <w:sz w:val="20"/>
                            </w:rPr>
                            <w:t>n, D</w:t>
                          </w:r>
                          <w:r w:rsidR="00386EA0">
                            <w:rPr>
                              <w:sz w:val="20"/>
                            </w:rPr>
                            <w:t>.</w:t>
                          </w:r>
                          <w:r w:rsidR="00CC46F0">
                            <w:rPr>
                              <w:sz w:val="20"/>
                            </w:rPr>
                            <w:t>C</w:t>
                          </w:r>
                          <w:r w:rsidR="00386EA0">
                            <w:rPr>
                              <w:sz w:val="20"/>
                            </w:rPr>
                            <w:t>.</w:t>
                          </w:r>
                          <w:r w:rsidRPr="0069533C">
                            <w:rPr>
                              <w:sz w:val="20"/>
                            </w:rPr>
                            <w:t xml:space="preserve"> 20005</w:t>
                          </w:r>
                        </w:p>
                        <w:p w:rsidR="006469E2" w:rsidRPr="0069533C" w:rsidRDefault="00386EA0" w:rsidP="0069533C">
                          <w:pPr>
                            <w:pStyle w:val="Header"/>
                            <w:ind w:left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(202) 216-</w:t>
                          </w:r>
                          <w:r w:rsidR="006469E2" w:rsidRPr="0069533C">
                            <w:rPr>
                              <w:sz w:val="20"/>
                            </w:rPr>
                            <w:t>9010</w:t>
                          </w:r>
                        </w:p>
                        <w:p w:rsidR="006469E2" w:rsidRPr="0069533C" w:rsidRDefault="006469E2" w:rsidP="0069533C">
                          <w:pPr>
                            <w:pStyle w:val="Header"/>
                            <w:ind w:left="0"/>
                            <w:jc w:val="right"/>
                            <w:rPr>
                              <w:sz w:val="20"/>
                            </w:rPr>
                          </w:pPr>
                          <w:r w:rsidRPr="0069533C">
                            <w:rPr>
                              <w:sz w:val="20"/>
                            </w:rPr>
                            <w:t>www.urac.org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45903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8.1pt;margin-top:11.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" filled="f" stroked="f" strokeweight=".5pt">
              <v:textbox style="mso-fit-shape-to-text:t">
                <w:txbxContent>
                  <w:p w:rsidR="00CC46F0" w:rsidRDefault="00CC46F0" w:rsidP="0069533C">
                    <w:pPr>
                      <w:pStyle w:val="Header"/>
                      <w:ind w:left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1220 L Street</w:t>
                    </w:r>
                    <w:r w:rsidR="008638C0">
                      <w:rPr>
                        <w:sz w:val="20"/>
                      </w:rPr>
                      <w:t>,</w:t>
                    </w:r>
                    <w:r>
                      <w:rPr>
                        <w:sz w:val="20"/>
                      </w:rPr>
                      <w:t xml:space="preserve"> NW</w:t>
                    </w:r>
                  </w:p>
                  <w:p w:rsidR="006469E2" w:rsidRPr="0069533C" w:rsidRDefault="006469E2" w:rsidP="0069533C">
                    <w:pPr>
                      <w:pStyle w:val="Header"/>
                      <w:ind w:left="0"/>
                      <w:jc w:val="right"/>
                      <w:rPr>
                        <w:sz w:val="20"/>
                      </w:rPr>
                    </w:pPr>
                    <w:r w:rsidRPr="0069533C">
                      <w:rPr>
                        <w:sz w:val="20"/>
                      </w:rPr>
                      <w:t>Suite 400</w:t>
                    </w:r>
                  </w:p>
                  <w:p w:rsidR="006469E2" w:rsidRPr="0069533C" w:rsidRDefault="006469E2" w:rsidP="0069533C">
                    <w:pPr>
                      <w:pStyle w:val="Header"/>
                      <w:ind w:left="0"/>
                      <w:jc w:val="right"/>
                      <w:rPr>
                        <w:sz w:val="20"/>
                      </w:rPr>
                    </w:pPr>
                    <w:r w:rsidRPr="0069533C">
                      <w:rPr>
                        <w:sz w:val="20"/>
                      </w:rPr>
                      <w:t>Washingto</w:t>
                    </w:r>
                    <w:r w:rsidR="00CC46F0">
                      <w:rPr>
                        <w:sz w:val="20"/>
                      </w:rPr>
                      <w:t>n, D</w:t>
                    </w:r>
                    <w:r w:rsidR="00386EA0">
                      <w:rPr>
                        <w:sz w:val="20"/>
                      </w:rPr>
                      <w:t>.</w:t>
                    </w:r>
                    <w:r w:rsidR="00CC46F0">
                      <w:rPr>
                        <w:sz w:val="20"/>
                      </w:rPr>
                      <w:t>C</w:t>
                    </w:r>
                    <w:r w:rsidR="00386EA0">
                      <w:rPr>
                        <w:sz w:val="20"/>
                      </w:rPr>
                      <w:t>.</w:t>
                    </w:r>
                    <w:r w:rsidRPr="0069533C">
                      <w:rPr>
                        <w:sz w:val="20"/>
                      </w:rPr>
                      <w:t xml:space="preserve"> 20005</w:t>
                    </w:r>
                  </w:p>
                  <w:p w:rsidR="006469E2" w:rsidRPr="0069533C" w:rsidRDefault="00386EA0" w:rsidP="0069533C">
                    <w:pPr>
                      <w:pStyle w:val="Header"/>
                      <w:ind w:left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(202) 216-</w:t>
                    </w:r>
                    <w:r w:rsidR="006469E2" w:rsidRPr="0069533C">
                      <w:rPr>
                        <w:sz w:val="20"/>
                      </w:rPr>
                      <w:t>9010</w:t>
                    </w:r>
                  </w:p>
                  <w:p w:rsidR="006469E2" w:rsidRPr="0069533C" w:rsidRDefault="006469E2" w:rsidP="0069533C">
                    <w:pPr>
                      <w:pStyle w:val="Header"/>
                      <w:ind w:left="0"/>
                      <w:jc w:val="right"/>
                      <w:rPr>
                        <w:sz w:val="20"/>
                      </w:rPr>
                    </w:pPr>
                    <w:r w:rsidRPr="0069533C">
                      <w:rPr>
                        <w:sz w:val="20"/>
                      </w:rPr>
                      <w:t>www.urac.org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4541"/>
    <w:multiLevelType w:val="hybridMultilevel"/>
    <w:tmpl w:val="016E285A"/>
    <w:lvl w:ilvl="0" w:tplc="B6E4F2A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7C0EB900">
      <w:numFmt w:val="bullet"/>
      <w:lvlText w:val=""/>
      <w:lvlJc w:val="left"/>
      <w:pPr>
        <w:ind w:left="1860" w:hanging="78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ADC"/>
    <w:multiLevelType w:val="hybridMultilevel"/>
    <w:tmpl w:val="5D2610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17C6F"/>
    <w:multiLevelType w:val="hybridMultilevel"/>
    <w:tmpl w:val="E04C6DD8"/>
    <w:lvl w:ilvl="0" w:tplc="B6E4F2A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60" w:hanging="78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A3211"/>
    <w:multiLevelType w:val="hybridMultilevel"/>
    <w:tmpl w:val="CED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83952"/>
    <w:multiLevelType w:val="hybridMultilevel"/>
    <w:tmpl w:val="8482D5A2"/>
    <w:lvl w:ilvl="0" w:tplc="B6E4F2A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60" w:hanging="78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16"/>
    <w:rsid w:val="000148FB"/>
    <w:rsid w:val="0002500C"/>
    <w:rsid w:val="0003649D"/>
    <w:rsid w:val="00077166"/>
    <w:rsid w:val="0011403F"/>
    <w:rsid w:val="00135457"/>
    <w:rsid w:val="001504C0"/>
    <w:rsid w:val="0016087F"/>
    <w:rsid w:val="00194C3B"/>
    <w:rsid w:val="001F3BAA"/>
    <w:rsid w:val="002212CF"/>
    <w:rsid w:val="0025037E"/>
    <w:rsid w:val="002A2074"/>
    <w:rsid w:val="002E19A7"/>
    <w:rsid w:val="002F114E"/>
    <w:rsid w:val="003027C3"/>
    <w:rsid w:val="00305678"/>
    <w:rsid w:val="003430F2"/>
    <w:rsid w:val="00355AD3"/>
    <w:rsid w:val="00386EA0"/>
    <w:rsid w:val="003B6B6A"/>
    <w:rsid w:val="003F0951"/>
    <w:rsid w:val="00422194"/>
    <w:rsid w:val="00474267"/>
    <w:rsid w:val="004B7E66"/>
    <w:rsid w:val="004F5A6B"/>
    <w:rsid w:val="0051151C"/>
    <w:rsid w:val="005222CE"/>
    <w:rsid w:val="005378DC"/>
    <w:rsid w:val="005B2616"/>
    <w:rsid w:val="005D0FE5"/>
    <w:rsid w:val="005D1893"/>
    <w:rsid w:val="005E110D"/>
    <w:rsid w:val="00602EF2"/>
    <w:rsid w:val="00620F50"/>
    <w:rsid w:val="00623690"/>
    <w:rsid w:val="006469E2"/>
    <w:rsid w:val="006620D7"/>
    <w:rsid w:val="0069533C"/>
    <w:rsid w:val="006A48FC"/>
    <w:rsid w:val="006E035C"/>
    <w:rsid w:val="0070039E"/>
    <w:rsid w:val="007345A4"/>
    <w:rsid w:val="00763797"/>
    <w:rsid w:val="00767B56"/>
    <w:rsid w:val="0077161F"/>
    <w:rsid w:val="007853B4"/>
    <w:rsid w:val="007A3081"/>
    <w:rsid w:val="007D3363"/>
    <w:rsid w:val="008638C0"/>
    <w:rsid w:val="00892C16"/>
    <w:rsid w:val="009153F5"/>
    <w:rsid w:val="00946392"/>
    <w:rsid w:val="0096433C"/>
    <w:rsid w:val="00993CEB"/>
    <w:rsid w:val="009E0C85"/>
    <w:rsid w:val="00A52512"/>
    <w:rsid w:val="00B21475"/>
    <w:rsid w:val="00B66790"/>
    <w:rsid w:val="00BF3B3C"/>
    <w:rsid w:val="00C61315"/>
    <w:rsid w:val="00C862A0"/>
    <w:rsid w:val="00CB53C6"/>
    <w:rsid w:val="00CC1985"/>
    <w:rsid w:val="00CC46F0"/>
    <w:rsid w:val="00CC7B4E"/>
    <w:rsid w:val="00D1460B"/>
    <w:rsid w:val="00D57BD3"/>
    <w:rsid w:val="00D9301D"/>
    <w:rsid w:val="00E268CF"/>
    <w:rsid w:val="00EA07CB"/>
    <w:rsid w:val="00EE4B11"/>
    <w:rsid w:val="00F31F6A"/>
    <w:rsid w:val="00F32586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4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504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3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3363"/>
  </w:style>
  <w:style w:type="character" w:styleId="Strong">
    <w:name w:val="Strong"/>
    <w:basedOn w:val="DefaultParagraphFont"/>
    <w:uiPriority w:val="22"/>
    <w:qFormat/>
    <w:rsid w:val="007D33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67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790"/>
  </w:style>
  <w:style w:type="paragraph" w:styleId="Footer">
    <w:name w:val="footer"/>
    <w:basedOn w:val="Normal"/>
    <w:link w:val="FooterChar"/>
    <w:uiPriority w:val="99"/>
    <w:unhideWhenUsed/>
    <w:rsid w:val="00B667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6790"/>
  </w:style>
  <w:style w:type="paragraph" w:styleId="BalloonText">
    <w:name w:val="Balloon Text"/>
    <w:basedOn w:val="Normal"/>
    <w:link w:val="BalloonTextChar"/>
    <w:uiPriority w:val="99"/>
    <w:semiHidden/>
    <w:unhideWhenUsed/>
    <w:rsid w:val="006469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4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504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3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3363"/>
  </w:style>
  <w:style w:type="character" w:styleId="Strong">
    <w:name w:val="Strong"/>
    <w:basedOn w:val="DefaultParagraphFont"/>
    <w:uiPriority w:val="22"/>
    <w:qFormat/>
    <w:rsid w:val="007D33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67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790"/>
  </w:style>
  <w:style w:type="paragraph" w:styleId="Footer">
    <w:name w:val="footer"/>
    <w:basedOn w:val="Normal"/>
    <w:link w:val="FooterChar"/>
    <w:uiPriority w:val="99"/>
    <w:unhideWhenUsed/>
    <w:rsid w:val="00B667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6790"/>
  </w:style>
  <w:style w:type="paragraph" w:styleId="BalloonText">
    <w:name w:val="Balloon Text"/>
    <w:basedOn w:val="Normal"/>
    <w:link w:val="BalloonTextChar"/>
    <w:uiPriority w:val="99"/>
    <w:semiHidden/>
    <w:unhideWhenUsed/>
    <w:rsid w:val="006469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p_Temp\Desktop\AQUIPS\Patient%20Safety%20Organizations%20and%20Providers.for%20review.dotx" TargetMode="External"/></Relationships>
</file>

<file path=word/theme/theme1.xml><?xml version="1.0" encoding="utf-8"?>
<a:theme xmlns:a="http://schemas.openxmlformats.org/drawingml/2006/main" name="Office Theme">
  <a:themeElements>
    <a:clrScheme name="URAC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E912D"/>
      </a:accent1>
      <a:accent2>
        <a:srgbClr val="2C5A2C"/>
      </a:accent2>
      <a:accent3>
        <a:srgbClr val="741116"/>
      </a:accent3>
      <a:accent4>
        <a:srgbClr val="58595B"/>
      </a:accent4>
      <a:accent5>
        <a:srgbClr val="002E4D"/>
      </a:accent5>
      <a:accent6>
        <a:srgbClr val="005581"/>
      </a:accent6>
      <a:hlink>
        <a:srgbClr val="0000FF"/>
      </a:hlink>
      <a:folHlink>
        <a:srgbClr val="0000FF"/>
      </a:folHlink>
    </a:clrScheme>
    <a:fontScheme name="URAC Default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BC2C04D706649A9C92BAD8543151E" ma:contentTypeVersion="1" ma:contentTypeDescription="Create a new document." ma:contentTypeScope="" ma:versionID="22c252b7f3b5903027535d1a0733e306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ED3C-9DF5-4F6A-B942-E5C9B23367E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6425D43-5160-45F9-BE83-B55E2239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2F09-38B1-45AA-97A1-B88AB2482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2F805-CC43-EB42-B071-27DC7920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\Users\Rdp_Temp\Desktop\AQUIPS\Patient Safety Organizations and Providers.for review.dotx</Template>
  <TotalTime>0</TotalTime>
  <Pages>1</Pages>
  <Words>299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Kane, Brooke</dc:creator>
  <cp:lastModifiedBy>Peggy (big mama) Binzer</cp:lastModifiedBy>
  <cp:revision>2</cp:revision>
  <cp:lastPrinted>2015-01-12T14:45:00Z</cp:lastPrinted>
  <dcterms:created xsi:type="dcterms:W3CDTF">2017-01-06T14:55:00Z</dcterms:created>
  <dcterms:modified xsi:type="dcterms:W3CDTF">2017-01-06T14:55:00Z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0x010100E72BC2C04D706649A9C92BAD8543151E</vt:lpwstr>
  </property>
</Properties>
</file>